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50C0180"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DF1049">
        <w:rPr>
          <w:rFonts w:cs="B Mitra" w:hint="cs"/>
          <w:b/>
          <w:bCs/>
          <w:sz w:val="32"/>
          <w:szCs w:val="32"/>
          <w:rtl/>
          <w:lang w:bidi="fa-IR"/>
        </w:rPr>
        <w:t>3</w:t>
      </w:r>
      <w:r w:rsidR="00E80368">
        <w:rPr>
          <w:rFonts w:cs="B Mitra" w:hint="cs"/>
          <w:b/>
          <w:bCs/>
          <w:sz w:val="32"/>
          <w:szCs w:val="32"/>
          <w:rtl/>
          <w:lang w:bidi="fa-IR"/>
        </w:rPr>
        <w:t>8</w:t>
      </w:r>
    </w:p>
    <w:p w14:paraId="2E9E88F8" w14:textId="08DCEACC" w:rsidR="00E80368" w:rsidRDefault="00E80368" w:rsidP="00E80368">
      <w:pPr>
        <w:pStyle w:val="NormalWeb"/>
        <w:widowControl w:val="0"/>
        <w:bidi/>
        <w:spacing w:before="0" w:beforeAutospacing="0" w:after="0" w:afterAutospacing="0" w:line="266"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ادامه اشکالاتی که بر فرمايشات علامه و کاشف اللثام وارد است، به قرار ذيل است:</w:t>
      </w:r>
    </w:p>
    <w:p w14:paraId="575E1455" w14:textId="49DC9720" w:rsidR="00E80368" w:rsidRDefault="00E80368" w:rsidP="00E80368">
      <w:pPr>
        <w:pStyle w:val="NormalWeb"/>
        <w:widowControl w:val="0"/>
        <w:bidi/>
        <w:spacing w:before="0" w:beforeAutospacing="0" w:after="0" w:afterAutospacing="0" w:line="266"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ثالثاً: فرق بين جاريه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ای که اول لاغر شده و سپس به وضع اول خود بازمی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گردد با مورد مسأله، اختياری و عدم اختياری بودن تغيير نيست، بلکه چه بسا در جاريه هم زوجه به اختيار خود کاری انجام دهد که جاريه لاغر شود، بلکه فرق از جهت صدق عرفی است، بدين معنا که چاق و لاغر شدن جاريه سبب حکم عرف به تلف عين مهر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در حالی که در ما نحن فيه با زوال صورت، عرف حکم به تلف عين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کند.</w:t>
      </w:r>
    </w:p>
    <w:p w14:paraId="4F3ED6F9" w14:textId="77777777" w:rsidR="00E80368" w:rsidRDefault="00E80368" w:rsidP="00E80368">
      <w:pPr>
        <w:pStyle w:val="NormalWeb"/>
        <w:widowControl w:val="0"/>
        <w:bidi/>
        <w:spacing w:before="0" w:beforeAutospacing="0" w:after="0" w:afterAutospacing="0" w:line="266"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و رابعاً: در جايی که دفع قيمت واجب شود، وجهی برای اين که بدل ماده مثلی حساب شده و بدل صورت قيمی، وجود ندارد، چون عرف چنين تفکيکی قائل نيست و عين را شیء واحد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بيند و تفکيک بين ماده و صورت، به دقت عقلی است.</w:t>
      </w:r>
    </w:p>
    <w:p w14:paraId="332F70CF" w14:textId="55890519" w:rsidR="00E80368" w:rsidRDefault="00E80368" w:rsidP="00E80368">
      <w:pPr>
        <w:pStyle w:val="NormalWeb"/>
        <w:widowControl w:val="0"/>
        <w:bidi/>
        <w:spacing w:before="0" w:beforeAutospacing="0" w:after="0" w:afterAutospacing="0" w:line="266"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و خامساً: بحث ربای معاوضی در اين جا مطرح نيست تا اين که لازم باشد که از غير جنس بدل پرداخت شود، چون رد بدل معاوضه نيست.</w:t>
      </w:r>
    </w:p>
    <w:p w14:paraId="3E07970E" w14:textId="77777777" w:rsidR="00E80368" w:rsidRPr="00400163" w:rsidRDefault="00E80368" w:rsidP="00E80368">
      <w:pPr>
        <w:pStyle w:val="NormalWeb"/>
        <w:widowControl w:val="0"/>
        <w:bidi/>
        <w:spacing w:before="360" w:beforeAutospacing="0" w:after="0" w:afterAutospacing="0" w:line="259" w:lineRule="auto"/>
        <w:ind w:left="1701" w:firstLine="284"/>
        <w:jc w:val="both"/>
        <w:rPr>
          <w:rFonts w:ascii="Traditional Arabic" w:hAnsi="Traditional Arabic" w:cs="Abz-2 (Badr)"/>
          <w:b/>
          <w:bCs/>
          <w:color w:val="000000"/>
          <w:spacing w:val="-2"/>
          <w:sz w:val="28"/>
          <w:szCs w:val="28"/>
          <w:rtl/>
          <w:lang w:bidi="fa-IR"/>
        </w:rPr>
      </w:pPr>
      <w:r w:rsidRPr="00400163">
        <w:rPr>
          <w:rFonts w:ascii="Traditional Arabic" w:hAnsi="Traditional Arabic" w:cs="Abz-2 (Badr)" w:hint="cs"/>
          <w:b/>
          <w:bCs/>
          <w:color w:val="000000"/>
          <w:spacing w:val="-2"/>
          <w:sz w:val="28"/>
          <w:szCs w:val="28"/>
          <w:rtl/>
          <w:lang w:bidi="fa-IR"/>
        </w:rPr>
        <w:lastRenderedPageBreak/>
        <w:t>قال المحقّق الحلّي: «السادسة</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عشرة:</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لو</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أصدقها</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تعليم</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سورة،</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كان</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حدّه</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أن</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تستقلّ</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بالتلاوة ولا</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يكفي</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تتبعّها</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لنطقه.</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نعم،</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لو</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استقلّت</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بتلاوة</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الآية</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ثمّ</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لقّنها</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غيرها</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فنسيت</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الأُولى،</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لم</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يجب</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عليه</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إعادة</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التعليم.</w:t>
      </w:r>
    </w:p>
    <w:p w14:paraId="443AD678" w14:textId="77777777" w:rsidR="00E80368" w:rsidRPr="00400163" w:rsidRDefault="00E80368" w:rsidP="00E80368">
      <w:pPr>
        <w:pStyle w:val="NormalWeb"/>
        <w:widowControl w:val="0"/>
        <w:bidi/>
        <w:spacing w:before="0" w:beforeAutospacing="0" w:after="360" w:afterAutospacing="0" w:line="259" w:lineRule="auto"/>
        <w:ind w:left="1701" w:firstLine="284"/>
        <w:jc w:val="both"/>
        <w:rPr>
          <w:rFonts w:ascii="Traditional Arabic" w:hAnsi="Traditional Arabic" w:cs="Abz-2 (Badr)"/>
          <w:b/>
          <w:bCs/>
          <w:color w:val="000000"/>
          <w:spacing w:val="-2"/>
          <w:sz w:val="28"/>
          <w:szCs w:val="28"/>
          <w:rtl/>
          <w:lang w:bidi="fa-IR"/>
        </w:rPr>
      </w:pPr>
      <w:r w:rsidRPr="00400163">
        <w:rPr>
          <w:rFonts w:ascii="Traditional Arabic" w:hAnsi="Traditional Arabic" w:cs="Abz-2 (Badr)" w:hint="cs"/>
          <w:b/>
          <w:bCs/>
          <w:color w:val="000000"/>
          <w:spacing w:val="-2"/>
          <w:sz w:val="28"/>
          <w:szCs w:val="28"/>
          <w:rtl/>
          <w:lang w:bidi="fa-IR"/>
        </w:rPr>
        <w:t>ولو</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استفادت</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ذلك</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من</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غيره،</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كان</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لها</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أُجرة</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التعليم،</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كما</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لو</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تزوّجها</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بشيء</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وتعذّر</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عليه</w:t>
      </w:r>
      <w:r w:rsidRPr="00400163">
        <w:rPr>
          <w:rFonts w:ascii="Traditional Arabic" w:hAnsi="Traditional Arabic" w:cs="Abz-2 (Badr)"/>
          <w:b/>
          <w:bCs/>
          <w:color w:val="000000"/>
          <w:spacing w:val="-2"/>
          <w:sz w:val="28"/>
          <w:szCs w:val="28"/>
          <w:rtl/>
          <w:lang w:bidi="fa-IR"/>
        </w:rPr>
        <w:t xml:space="preserve"> </w:t>
      </w:r>
      <w:r w:rsidRPr="00400163">
        <w:rPr>
          <w:rFonts w:ascii="Traditional Arabic" w:hAnsi="Traditional Arabic" w:cs="Abz-2 (Badr)" w:hint="cs"/>
          <w:b/>
          <w:bCs/>
          <w:color w:val="000000"/>
          <w:spacing w:val="-2"/>
          <w:sz w:val="28"/>
          <w:szCs w:val="28"/>
          <w:rtl/>
          <w:lang w:bidi="fa-IR"/>
        </w:rPr>
        <w:t>تسليمه</w:t>
      </w:r>
      <w:r w:rsidRPr="00400163">
        <w:rPr>
          <w:rFonts w:ascii="Traditional Arabic" w:hAnsi="Traditional Arabic" w:cs="Abz-2 (Badr)"/>
          <w:b/>
          <w:bCs/>
          <w:color w:val="000000"/>
          <w:spacing w:val="-2"/>
          <w:sz w:val="28"/>
          <w:szCs w:val="28"/>
          <w:rtl/>
          <w:lang w:bidi="fa-IR"/>
        </w:rPr>
        <w:t>.</w:t>
      </w:r>
      <w:r w:rsidRPr="00400163">
        <w:rPr>
          <w:rFonts w:ascii="Traditional Arabic" w:hAnsi="Traditional Arabic" w:cs="Abz-2 (Badr)" w:hint="cs"/>
          <w:b/>
          <w:bCs/>
          <w:color w:val="000000"/>
          <w:spacing w:val="-2"/>
          <w:sz w:val="28"/>
          <w:szCs w:val="28"/>
          <w:rtl/>
          <w:lang w:bidi="fa-IR"/>
        </w:rPr>
        <w:t>»</w:t>
      </w:r>
      <w:r>
        <w:rPr>
          <w:vertAlign w:val="superscript"/>
          <w:rtl/>
        </w:rPr>
        <w:footnoteReference w:id="1"/>
      </w:r>
    </w:p>
    <w:p w14:paraId="20428007" w14:textId="77777777" w:rsidR="00E80368" w:rsidRDefault="00E80368" w:rsidP="00E80368">
      <w:pPr>
        <w:pStyle w:val="NormalWeb"/>
        <w:widowControl w:val="0"/>
        <w:bidi/>
        <w:spacing w:before="0" w:beforeAutospacing="0" w:after="0" w:afterAutospacing="0" w:line="26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اين مسأله هم از مسائلی است که سابقاً بخشی از احکام آن گذشت و مناسب</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تر بود که محقق اين احکام را نيز در کنار احکامی که سابقاً فرمودند، مطرح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کردند.</w:t>
      </w:r>
    </w:p>
    <w:p w14:paraId="32365C7E" w14:textId="77777777" w:rsidR="00E80368" w:rsidRPr="003662C5" w:rsidRDefault="00E80368" w:rsidP="00E80368">
      <w:pPr>
        <w:pStyle w:val="NormalWeb"/>
        <w:widowControl w:val="0"/>
        <w:bidi/>
        <w:spacing w:before="0" w:beforeAutospacing="0" w:after="0" w:afterAutospacing="0" w:line="264" w:lineRule="auto"/>
        <w:ind w:firstLine="284"/>
        <w:jc w:val="both"/>
        <w:rPr>
          <w:rFonts w:ascii="Traditional Arabic" w:hAnsi="Traditional Arabic" w:cs="Abz-2 (Badr)"/>
          <w:color w:val="000000"/>
          <w:spacing w:val="-2"/>
          <w:sz w:val="28"/>
          <w:szCs w:val="28"/>
          <w:lang w:bidi="fa-IR"/>
        </w:rPr>
      </w:pPr>
      <w:r>
        <w:rPr>
          <w:rFonts w:ascii="Traditional Arabic" w:hAnsi="Traditional Arabic" w:cs="Abz-2 (Badr)" w:hint="cs"/>
          <w:color w:val="000000"/>
          <w:spacing w:val="-2"/>
          <w:sz w:val="28"/>
          <w:szCs w:val="28"/>
          <w:rtl/>
          <w:lang w:bidi="fa-IR"/>
        </w:rPr>
        <w:t>شهيد ثانی در توضيح بخش اول کلام محقق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فرمايد: «</w:t>
      </w:r>
      <w:r w:rsidRPr="003662C5">
        <w:rPr>
          <w:rFonts w:ascii="Traditional Arabic" w:hAnsi="Traditional Arabic" w:cs="Abz-2 (Badr)" w:hint="cs"/>
          <w:color w:val="000000"/>
          <w:spacing w:val="-2"/>
          <w:sz w:val="28"/>
          <w:szCs w:val="28"/>
          <w:rtl/>
          <w:lang w:bidi="fa-IR"/>
        </w:rPr>
        <w:t>حدّه</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أن</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تستقلّ‌</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بتلاوته</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صحيحا</w:t>
      </w:r>
      <w:r>
        <w:rPr>
          <w:rFonts w:ascii="Traditional Arabic" w:hAnsi="Traditional Arabic" w:cs="Abz-2 (Badr)" w:hint="cs"/>
          <w:color w:val="000000"/>
          <w:spacing w:val="-2"/>
          <w:sz w:val="28"/>
          <w:szCs w:val="28"/>
          <w:rtl/>
          <w:lang w:bidi="fa-IR"/>
        </w:rPr>
        <w:t>ً</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بغير</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مرشد،</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فلا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يكفي</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تتبّعها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لنطقه،</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لأن</w:t>
      </w:r>
      <w:r>
        <w:rPr>
          <w:rFonts w:ascii="Traditional Arabic" w:hAnsi="Traditional Arabic" w:cs="Abz-2 (Badr)" w:hint="cs"/>
          <w:color w:val="000000"/>
          <w:spacing w:val="-2"/>
          <w:sz w:val="28"/>
          <w:szCs w:val="28"/>
          <w:rtl/>
          <w:lang w:bidi="fa-IR"/>
        </w:rPr>
        <w:t>ّ</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ذلك</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لا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يعدّ</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تعلّما</w:t>
      </w:r>
      <w:r>
        <w:rPr>
          <w:rFonts w:ascii="Traditional Arabic" w:hAnsi="Traditional Arabic" w:cs="Abz-2 (Badr)" w:hint="cs"/>
          <w:color w:val="000000"/>
          <w:spacing w:val="-2"/>
          <w:sz w:val="28"/>
          <w:szCs w:val="28"/>
          <w:rtl/>
          <w:lang w:bidi="fa-IR"/>
        </w:rPr>
        <w:t>ً</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عرفا</w:t>
      </w:r>
      <w:r>
        <w:rPr>
          <w:rFonts w:ascii="Traditional Arabic" w:hAnsi="Traditional Arabic" w:cs="Abz-2 (Badr)" w:hint="cs"/>
          <w:color w:val="000000"/>
          <w:spacing w:val="-2"/>
          <w:sz w:val="28"/>
          <w:szCs w:val="28"/>
          <w:rtl/>
          <w:lang w:bidi="fa-IR"/>
        </w:rPr>
        <w:t>ً</w:t>
      </w:r>
      <w:r w:rsidRPr="003662C5">
        <w:rPr>
          <w:rFonts w:ascii="Traditional Arabic" w:hAnsi="Traditional Arabic" w:cs="Abz-2 (Badr)"/>
          <w:color w:val="000000"/>
          <w:spacing w:val="-2"/>
          <w:sz w:val="28"/>
          <w:szCs w:val="28"/>
          <w:rtl/>
          <w:lang w:bidi="fa-IR"/>
        </w:rPr>
        <w:t xml:space="preserve">. </w:t>
      </w:r>
    </w:p>
    <w:p w14:paraId="6A872058" w14:textId="77777777" w:rsidR="00E80368" w:rsidRPr="003662C5" w:rsidRDefault="00E80368" w:rsidP="00E80368">
      <w:pPr>
        <w:pStyle w:val="NormalWeb"/>
        <w:widowControl w:val="0"/>
        <w:bidi/>
        <w:spacing w:before="0" w:beforeAutospacing="0" w:after="0" w:afterAutospacing="0" w:line="264" w:lineRule="auto"/>
        <w:ind w:firstLine="284"/>
        <w:jc w:val="both"/>
        <w:rPr>
          <w:rFonts w:ascii="Traditional Arabic" w:hAnsi="Traditional Arabic" w:cs="Abz-2 (Badr)"/>
          <w:color w:val="000000"/>
          <w:spacing w:val="-2"/>
          <w:sz w:val="28"/>
          <w:szCs w:val="28"/>
          <w:rtl/>
          <w:lang w:bidi="fa-IR"/>
        </w:rPr>
      </w:pPr>
      <w:r w:rsidRPr="003662C5">
        <w:rPr>
          <w:rFonts w:ascii="Traditional Arabic" w:hAnsi="Traditional Arabic" w:cs="Abz-2 (Badr)" w:hint="cs"/>
          <w:color w:val="000000"/>
          <w:spacing w:val="-2"/>
          <w:sz w:val="28"/>
          <w:szCs w:val="28"/>
          <w:rtl/>
          <w:lang w:bidi="fa-IR"/>
        </w:rPr>
        <w:t>ثمَّ‌</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المعتبر</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استقلالها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بجملة</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منها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يصدق</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عليها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عرفا</w:t>
      </w:r>
      <w:r>
        <w:rPr>
          <w:rFonts w:ascii="Traditional Arabic" w:hAnsi="Traditional Arabic" w:cs="Abz-2 (Badr)" w:hint="cs"/>
          <w:color w:val="000000"/>
          <w:spacing w:val="-2"/>
          <w:sz w:val="28"/>
          <w:szCs w:val="28"/>
          <w:rtl/>
          <w:lang w:bidi="fa-IR"/>
        </w:rPr>
        <w:t>ً</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اسم</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التعلّم</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للقرآن،</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فلا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يكفي</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استقلالها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بنحو</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الكلمة</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والكلمتين</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قطعا</w:t>
      </w:r>
      <w:r>
        <w:rPr>
          <w:rFonts w:ascii="Traditional Arabic" w:hAnsi="Traditional Arabic" w:cs="Abz-2 (Badr)" w:hint="cs"/>
          <w:color w:val="000000"/>
          <w:spacing w:val="-2"/>
          <w:sz w:val="28"/>
          <w:szCs w:val="28"/>
          <w:rtl/>
          <w:lang w:bidi="fa-IR"/>
        </w:rPr>
        <w:t>ً</w:t>
      </w:r>
      <w:r w:rsidRPr="003662C5">
        <w:rPr>
          <w:rFonts w:ascii="Traditional Arabic" w:hAnsi="Traditional Arabic" w:cs="Abz-2 (Badr)" w:hint="cs"/>
          <w:color w:val="000000"/>
          <w:spacing w:val="-2"/>
          <w:sz w:val="28"/>
          <w:szCs w:val="28"/>
          <w:rtl/>
          <w:lang w:bidi="fa-IR"/>
        </w:rPr>
        <w:t>،</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لأن</w:t>
      </w:r>
      <w:r>
        <w:rPr>
          <w:rFonts w:ascii="Traditional Arabic" w:hAnsi="Traditional Arabic" w:cs="Abz-2 (Badr)" w:hint="cs"/>
          <w:color w:val="000000"/>
          <w:spacing w:val="-2"/>
          <w:sz w:val="28"/>
          <w:szCs w:val="28"/>
          <w:rtl/>
          <w:lang w:bidi="fa-IR"/>
        </w:rPr>
        <w:t>ّ</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ذلك</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لا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يعدّ</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تعلّما</w:t>
      </w:r>
      <w:r>
        <w:rPr>
          <w:rFonts w:ascii="Traditional Arabic" w:hAnsi="Traditional Arabic" w:cs="Abz-2 (Badr)" w:hint="cs"/>
          <w:color w:val="000000"/>
          <w:spacing w:val="-2"/>
          <w:sz w:val="28"/>
          <w:szCs w:val="28"/>
          <w:rtl/>
          <w:lang w:bidi="fa-IR"/>
        </w:rPr>
        <w:t>ً</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ويظهر</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من</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المصن</w:t>
      </w:r>
      <w:r>
        <w:rPr>
          <w:rFonts w:ascii="Traditional Arabic" w:hAnsi="Traditional Arabic" w:cs="Abz-2 (Badr)" w:hint="cs"/>
          <w:color w:val="000000"/>
          <w:spacing w:val="-2"/>
          <w:sz w:val="28"/>
          <w:szCs w:val="28"/>
          <w:rtl/>
          <w:lang w:bidi="fa-IR"/>
        </w:rPr>
        <w:t>ّ</w:t>
      </w:r>
      <w:r w:rsidRPr="003662C5">
        <w:rPr>
          <w:rFonts w:ascii="Traditional Arabic" w:hAnsi="Traditional Arabic" w:cs="Abz-2 (Badr)" w:hint="cs"/>
          <w:color w:val="000000"/>
          <w:spacing w:val="-2"/>
          <w:sz w:val="28"/>
          <w:szCs w:val="28"/>
          <w:rtl/>
          <w:lang w:bidi="fa-IR"/>
        </w:rPr>
        <w:t>ف</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وجماعة</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الاكتفاء</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بالآية،</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فلو</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استقلّت</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بها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برئت</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ذمّته</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منها،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فلو</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اشتغلت</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بغيرها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فنسيتها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لم</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يجب</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عليه</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إعادة</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التعليم</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واعتبر</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بعضهم</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ثلاث</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آيات</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مراعاة</w:t>
      </w:r>
      <w:r>
        <w:rPr>
          <w:rFonts w:ascii="Traditional Arabic" w:hAnsi="Traditional Arabic" w:cs="Abz-2 (Badr)" w:hint="cs"/>
          <w:color w:val="000000"/>
          <w:spacing w:val="-2"/>
          <w:sz w:val="28"/>
          <w:szCs w:val="28"/>
          <w:rtl/>
          <w:lang w:bidi="fa-IR"/>
        </w:rPr>
        <w:t>ً</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لما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يحصل</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به</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الإعجاز،</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وأقلّه</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سورة</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قصيرة</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تشتمل</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على</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ثلاث</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آيات</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كالكوثر</w:t>
      </w:r>
      <w:r w:rsidRPr="003662C5">
        <w:rPr>
          <w:rFonts w:ascii="Traditional Arabic" w:hAnsi="Traditional Arabic" w:cs="Abz-2 (Badr)"/>
          <w:color w:val="000000"/>
          <w:spacing w:val="-2"/>
          <w:sz w:val="28"/>
          <w:szCs w:val="28"/>
          <w:rtl/>
          <w:lang w:bidi="fa-IR"/>
        </w:rPr>
        <w:t xml:space="preserve">. </w:t>
      </w:r>
    </w:p>
    <w:p w14:paraId="5CF0B040" w14:textId="77777777" w:rsidR="00E80368" w:rsidRPr="003662C5" w:rsidRDefault="00E80368" w:rsidP="00E2075D">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sidRPr="003662C5">
        <w:rPr>
          <w:rFonts w:ascii="Traditional Arabic" w:hAnsi="Traditional Arabic" w:cs="Abz-2 (Badr)" w:hint="cs"/>
          <w:color w:val="000000"/>
          <w:spacing w:val="-2"/>
          <w:sz w:val="28"/>
          <w:szCs w:val="28"/>
          <w:rtl/>
          <w:lang w:bidi="fa-IR"/>
        </w:rPr>
        <w:t>والأجود</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الرجوع</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إلى</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العرف،</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لعدم</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تقديره</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شرعا</w:t>
      </w:r>
      <w:r>
        <w:rPr>
          <w:rFonts w:ascii="Traditional Arabic" w:hAnsi="Traditional Arabic" w:cs="Abz-2 (Badr)" w:hint="cs"/>
          <w:color w:val="000000"/>
          <w:spacing w:val="-2"/>
          <w:sz w:val="28"/>
          <w:szCs w:val="28"/>
          <w:rtl/>
          <w:lang w:bidi="fa-IR"/>
        </w:rPr>
        <w:t>ً</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وكون</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الإعجاز</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يتعلّق</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بثلاث</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آيات</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لا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يستلزم</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نفي</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التعليم</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عمّا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دونها</w:t>
      </w:r>
      <w:r w:rsidRPr="003662C5">
        <w:rPr>
          <w:rFonts w:ascii="Traditional Arabic" w:hAnsi="Traditional Arabic" w:cs="Abz-2 (Badr)"/>
          <w:color w:val="000000"/>
          <w:spacing w:val="-2"/>
          <w:sz w:val="28"/>
          <w:szCs w:val="28"/>
          <w:rtl/>
          <w:lang w:bidi="fa-IR"/>
        </w:rPr>
        <w:t xml:space="preserve">. </w:t>
      </w:r>
      <w:r>
        <w:rPr>
          <w:rFonts w:ascii="Traditional Arabic" w:hAnsi="Traditional Arabic" w:cs="Abz-2 (Badr)" w:hint="cs"/>
          <w:color w:val="000000"/>
          <w:spacing w:val="-2"/>
          <w:sz w:val="28"/>
          <w:szCs w:val="28"/>
          <w:rtl/>
          <w:lang w:bidi="fa-IR"/>
        </w:rPr>
        <w:lastRenderedPageBreak/>
        <w:t>و</w:t>
      </w:r>
      <w:r w:rsidRPr="003662C5">
        <w:rPr>
          <w:rFonts w:ascii="Traditional Arabic" w:hAnsi="Traditional Arabic" w:cs="Abz-2 (Badr)" w:hint="cs"/>
          <w:color w:val="000000"/>
          <w:spacing w:val="-2"/>
          <w:sz w:val="28"/>
          <w:szCs w:val="28"/>
          <w:rtl/>
          <w:lang w:bidi="fa-IR"/>
        </w:rPr>
        <w:t>لأن</w:t>
      </w:r>
      <w:r>
        <w:rPr>
          <w:rFonts w:ascii="Traditional Arabic" w:hAnsi="Traditional Arabic" w:cs="Abz-2 (Badr)" w:hint="cs"/>
          <w:color w:val="000000"/>
          <w:spacing w:val="-2"/>
          <w:sz w:val="28"/>
          <w:szCs w:val="28"/>
          <w:rtl/>
          <w:lang w:bidi="fa-IR"/>
        </w:rPr>
        <w:t>ّ</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الآيات</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تختلف</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بالطول</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والقصر،</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ففيها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ما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يزيد</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على</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ثلاث</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آيات</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قصيرة</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ويحصل</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بها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الإعجاز،</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وفيها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ما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لا</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يصدق</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معه</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التعلّم</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عرفا</w:t>
      </w:r>
      <w:r>
        <w:rPr>
          <w:rFonts w:ascii="Traditional Arabic" w:hAnsi="Traditional Arabic" w:cs="Abz-2 (Badr)" w:hint="cs"/>
          <w:color w:val="000000"/>
          <w:spacing w:val="-2"/>
          <w:sz w:val="28"/>
          <w:szCs w:val="28"/>
          <w:rtl/>
          <w:lang w:bidi="fa-IR"/>
        </w:rPr>
        <w:t>ً</w:t>
      </w:r>
      <w:r w:rsidRPr="003662C5">
        <w:rPr>
          <w:rFonts w:ascii="Traditional Arabic" w:hAnsi="Traditional Arabic" w:cs="Abz-2 (Badr)"/>
          <w:color w:val="000000"/>
          <w:spacing w:val="-2"/>
          <w:sz w:val="28"/>
          <w:szCs w:val="28"/>
          <w:rtl/>
          <w:lang w:bidi="fa-IR"/>
        </w:rPr>
        <w:t xml:space="preserve"> </w:t>
      </w:r>
      <w:r w:rsidRPr="003662C5">
        <w:rPr>
          <w:rFonts w:ascii="Traditional Arabic" w:hAnsi="Traditional Arabic" w:cs="Abz-2 (Badr)" w:hint="cs"/>
          <w:color w:val="000000"/>
          <w:spacing w:val="-2"/>
          <w:sz w:val="28"/>
          <w:szCs w:val="28"/>
          <w:rtl/>
          <w:lang w:bidi="fa-IR"/>
        </w:rPr>
        <w:t>ك‍</w:t>
      </w:r>
      <w:r>
        <w:rPr>
          <w:rFonts w:ascii="Traditional Arabic" w:hAnsi="Traditional Arabic" w:cs="Abz-2 (Badr)" w:hint="cs"/>
          <w:color w:val="000000"/>
          <w:spacing w:val="-2"/>
          <w:sz w:val="28"/>
          <w:szCs w:val="28"/>
          <w:rtl/>
          <w:lang w:bidi="fa-IR"/>
        </w:rPr>
        <w:t xml:space="preserve">ـ </w:t>
      </w:r>
      <w:r w:rsidRPr="00822EC7">
        <w:rPr>
          <w:rFonts w:ascii="Traditional Arabic" w:hAnsi="Traditional Arabic" w:cs="QuranTaha" w:hint="cs"/>
          <w:color w:val="000000"/>
          <w:spacing w:val="-2"/>
          <w:sz w:val="26"/>
          <w:szCs w:val="26"/>
          <w:rtl/>
          <w:lang w:bidi="fa-IR"/>
        </w:rPr>
        <w:t>«</w:t>
      </w:r>
      <w:r w:rsidRPr="003662C5">
        <w:rPr>
          <w:rFonts w:ascii="Traditional Arabic" w:hAnsi="Traditional Arabic" w:cs="QuranTaha" w:hint="cs"/>
          <w:color w:val="000000"/>
          <w:spacing w:val="-2"/>
          <w:sz w:val="26"/>
          <w:szCs w:val="26"/>
          <w:rtl/>
          <w:lang w:bidi="fa-IR"/>
        </w:rPr>
        <w:t>مُدْهٰامَّتٰانِ</w:t>
      </w:r>
      <w:r w:rsidRPr="00822EC7">
        <w:rPr>
          <w:rFonts w:ascii="Traditional Arabic" w:hAnsi="Traditional Arabic" w:cs="QuranTaha" w:hint="cs"/>
          <w:color w:val="000000"/>
          <w:spacing w:val="-2"/>
          <w:sz w:val="26"/>
          <w:szCs w:val="26"/>
          <w:rtl/>
          <w:lang w:bidi="fa-IR"/>
        </w:rPr>
        <w:t>»</w:t>
      </w:r>
      <w:r w:rsidRPr="003662C5">
        <w:rPr>
          <w:rFonts w:ascii="Traditional Arabic" w:hAnsi="Traditional Arabic" w:cs="Abz-2 (Badr)" w:hint="cs"/>
          <w:color w:val="000000"/>
          <w:spacing w:val="-2"/>
          <w:sz w:val="28"/>
          <w:szCs w:val="28"/>
          <w:rtl/>
          <w:lang w:bidi="fa-IR"/>
        </w:rPr>
        <w:t>‌</w:t>
      </w:r>
      <w:r w:rsidRPr="003662C5">
        <w:rPr>
          <w:rFonts w:ascii="Traditional Arabic" w:hAnsi="Traditional Arabic" w:cs="Abz-2 (Badr)"/>
          <w:color w:val="000000"/>
          <w:spacing w:val="-2"/>
          <w:sz w:val="28"/>
          <w:szCs w:val="28"/>
          <w:vertAlign w:val="superscript"/>
          <w:rtl/>
          <w:lang w:bidi="fa-IR"/>
        </w:rPr>
        <w:footnoteReference w:id="2"/>
      </w:r>
      <w:r>
        <w:rPr>
          <w:rFonts w:ascii="Traditional Arabic" w:hAnsi="Traditional Arabic" w:cs="Abz-2 (Badr)" w:hint="cs"/>
          <w:color w:val="000000"/>
          <w:spacing w:val="-2"/>
          <w:sz w:val="28"/>
          <w:szCs w:val="28"/>
          <w:rtl/>
          <w:lang w:bidi="fa-IR"/>
        </w:rPr>
        <w:t xml:space="preserve"> </w:t>
      </w:r>
      <w:r w:rsidRPr="00822EC7">
        <w:rPr>
          <w:rFonts w:ascii="Traditional Arabic" w:hAnsi="Traditional Arabic" w:cs="QuranTaha" w:hint="cs"/>
          <w:color w:val="000000"/>
          <w:spacing w:val="-2"/>
          <w:sz w:val="26"/>
          <w:szCs w:val="26"/>
          <w:rtl/>
          <w:lang w:bidi="fa-IR"/>
        </w:rPr>
        <w:t>«</w:t>
      </w:r>
      <w:r w:rsidRPr="003662C5">
        <w:rPr>
          <w:rFonts w:ascii="Traditional Arabic" w:hAnsi="Traditional Arabic" w:cs="QuranTaha" w:hint="cs"/>
          <w:color w:val="000000"/>
          <w:spacing w:val="-2"/>
          <w:sz w:val="26"/>
          <w:szCs w:val="26"/>
          <w:rtl/>
          <w:lang w:bidi="fa-IR"/>
        </w:rPr>
        <w:t>وَأُلْقِ</w:t>
      </w:r>
      <w:r>
        <w:rPr>
          <w:rFonts w:ascii="Traditional Arabic" w:hAnsi="Traditional Arabic" w:cs="QuranTaha" w:hint="cs"/>
          <w:color w:val="000000"/>
          <w:spacing w:val="-2"/>
          <w:sz w:val="26"/>
          <w:szCs w:val="26"/>
          <w:rtl/>
          <w:lang w:bidi="fa-IR"/>
        </w:rPr>
        <w:t>ی</w:t>
      </w:r>
      <w:r w:rsidRPr="003662C5">
        <w:rPr>
          <w:rFonts w:ascii="Traditional Arabic" w:hAnsi="Traditional Arabic" w:cs="QuranTaha" w:hint="cs"/>
          <w:color w:val="000000"/>
          <w:spacing w:val="-2"/>
          <w:sz w:val="26"/>
          <w:szCs w:val="26"/>
          <w:rtl/>
          <w:lang w:bidi="fa-IR"/>
        </w:rPr>
        <w:t>َ‌</w:t>
      </w:r>
      <w:r w:rsidRPr="003662C5">
        <w:rPr>
          <w:rFonts w:ascii="Traditional Arabic" w:hAnsi="Traditional Arabic" w:cs="QuranTaha"/>
          <w:color w:val="000000"/>
          <w:spacing w:val="-2"/>
          <w:sz w:val="26"/>
          <w:szCs w:val="26"/>
          <w:rtl/>
          <w:lang w:bidi="fa-IR"/>
        </w:rPr>
        <w:t xml:space="preserve"> </w:t>
      </w:r>
      <w:r w:rsidRPr="003662C5">
        <w:rPr>
          <w:rFonts w:ascii="Traditional Arabic" w:hAnsi="Traditional Arabic" w:cs="QuranTaha" w:hint="cs"/>
          <w:color w:val="000000"/>
          <w:spacing w:val="-2"/>
          <w:sz w:val="26"/>
          <w:szCs w:val="26"/>
          <w:rtl/>
          <w:lang w:bidi="fa-IR"/>
        </w:rPr>
        <w:t>السَّحَرَةُ‌</w:t>
      </w:r>
      <w:r w:rsidRPr="003662C5">
        <w:rPr>
          <w:rFonts w:ascii="Traditional Arabic" w:hAnsi="Traditional Arabic" w:cs="QuranTaha"/>
          <w:color w:val="000000"/>
          <w:spacing w:val="-2"/>
          <w:sz w:val="26"/>
          <w:szCs w:val="26"/>
          <w:rtl/>
          <w:lang w:bidi="fa-IR"/>
        </w:rPr>
        <w:t xml:space="preserve"> </w:t>
      </w:r>
      <w:r w:rsidRPr="003662C5">
        <w:rPr>
          <w:rFonts w:ascii="Traditional Arabic" w:hAnsi="Traditional Arabic" w:cs="QuranTaha" w:hint="cs"/>
          <w:color w:val="000000"/>
          <w:spacing w:val="-2"/>
          <w:sz w:val="26"/>
          <w:szCs w:val="26"/>
          <w:rtl/>
          <w:lang w:bidi="fa-IR"/>
        </w:rPr>
        <w:t>سٰاجِدِينَ‌</w:t>
      </w:r>
      <w:r w:rsidRPr="00822EC7">
        <w:rPr>
          <w:rFonts w:ascii="Traditional Arabic" w:hAnsi="Traditional Arabic" w:cs="QuranTaha" w:hint="cs"/>
          <w:color w:val="000000"/>
          <w:spacing w:val="-2"/>
          <w:sz w:val="26"/>
          <w:szCs w:val="26"/>
          <w:rtl/>
          <w:lang w:bidi="fa-IR"/>
        </w:rPr>
        <w:t>»</w:t>
      </w:r>
      <w:r w:rsidRPr="003662C5">
        <w:rPr>
          <w:rFonts w:ascii="Traditional Arabic" w:hAnsi="Traditional Arabic" w:cs="Abz-2 (Badr)"/>
          <w:color w:val="000000"/>
          <w:spacing w:val="-2"/>
          <w:sz w:val="28"/>
          <w:szCs w:val="28"/>
          <w:vertAlign w:val="superscript"/>
          <w:rtl/>
          <w:lang w:bidi="fa-IR"/>
        </w:rPr>
        <w:footnoteReference w:id="3"/>
      </w:r>
      <w:r w:rsidRPr="003662C5">
        <w:rPr>
          <w:rFonts w:ascii="Traditional Arabic" w:hAnsi="Traditional Arabic" w:cs="Abz-2 (Badr)"/>
          <w:color w:val="000000"/>
          <w:spacing w:val="-2"/>
          <w:sz w:val="28"/>
          <w:szCs w:val="28"/>
          <w:rtl/>
          <w:lang w:bidi="fa-IR"/>
        </w:rPr>
        <w:t xml:space="preserve">. </w:t>
      </w:r>
    </w:p>
    <w:p w14:paraId="18A670C0" w14:textId="77777777" w:rsidR="00E80368" w:rsidRPr="00E2075D" w:rsidRDefault="00E80368" w:rsidP="00E2075D">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6"/>
          <w:sz w:val="28"/>
          <w:szCs w:val="28"/>
          <w:rtl/>
          <w:lang w:bidi="fa-IR"/>
        </w:rPr>
      </w:pPr>
      <w:r w:rsidRPr="00E2075D">
        <w:rPr>
          <w:rFonts w:ascii="Traditional Arabic" w:hAnsi="Traditional Arabic" w:cs="Abz-2 (Badr)" w:hint="cs"/>
          <w:color w:val="000000"/>
          <w:spacing w:val="-6"/>
          <w:sz w:val="28"/>
          <w:szCs w:val="28"/>
          <w:rtl/>
          <w:lang w:bidi="fa-IR"/>
        </w:rPr>
        <w:t>ثمّ‌</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إن</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كان</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شرطها</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التعلّم</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عن</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ظهر</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القلب،</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اشترط</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ثبوته</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فيه</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وتكرّره</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على</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وجه</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يصدق</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عليه</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اسم</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الحفظ</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عرفاً،</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فلا</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يكفي</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قرائته</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عن</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ظهر</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القلب</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مرّة،</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ولا</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تكرار</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قدر</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يسير</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كذلك</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وإن</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كان</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المراد</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التدرّب</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على</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قراءته</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من</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المصحف</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اعتبر</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استقلالها</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به</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بنفسها</w:t>
      </w:r>
      <w:r w:rsidRPr="00E2075D">
        <w:rPr>
          <w:rFonts w:ascii="Traditional Arabic" w:hAnsi="Traditional Arabic" w:cs="Abz-2 (Badr)"/>
          <w:color w:val="000000"/>
          <w:spacing w:val="-6"/>
          <w:sz w:val="28"/>
          <w:szCs w:val="28"/>
          <w:rtl/>
          <w:lang w:bidi="fa-IR"/>
        </w:rPr>
        <w:t xml:space="preserve"> </w:t>
      </w:r>
      <w:r w:rsidRPr="00E2075D">
        <w:rPr>
          <w:rFonts w:ascii="Traditional Arabic" w:hAnsi="Traditional Arabic" w:cs="Abz-2 (Badr)" w:hint="cs"/>
          <w:color w:val="000000"/>
          <w:spacing w:val="-6"/>
          <w:sz w:val="28"/>
          <w:szCs w:val="28"/>
          <w:rtl/>
          <w:lang w:bidi="fa-IR"/>
        </w:rPr>
        <w:t>كذلك</w:t>
      </w:r>
      <w:r w:rsidRPr="00E2075D">
        <w:rPr>
          <w:rFonts w:ascii="Traditional Arabic" w:hAnsi="Traditional Arabic" w:cs="Abz-2 (Badr)"/>
          <w:color w:val="000000"/>
          <w:spacing w:val="-6"/>
          <w:sz w:val="28"/>
          <w:szCs w:val="28"/>
          <w:rtl/>
          <w:lang w:bidi="fa-IR"/>
        </w:rPr>
        <w:t>.</w:t>
      </w:r>
    </w:p>
    <w:p w14:paraId="44404600" w14:textId="77777777" w:rsidR="00E80368" w:rsidRPr="00E2075D" w:rsidRDefault="00E80368" w:rsidP="00E2075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E2075D">
        <w:rPr>
          <w:rFonts w:ascii="Traditional Arabic" w:hAnsi="Traditional Arabic" w:cs="Abz-2 (Badr)" w:hint="cs"/>
          <w:color w:val="000000"/>
          <w:sz w:val="28"/>
          <w:szCs w:val="28"/>
          <w:rtl/>
          <w:lang w:bidi="fa-IR"/>
        </w:rPr>
        <w:t>ثمّ‌</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إن</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كان</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العرف</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منضبطاً</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حمل</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عليه،</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وإلا</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وجب</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ضبطه</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على</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وجه</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يرفع</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الإبهام</w:t>
      </w:r>
      <w:r w:rsidRPr="00E2075D">
        <w:rPr>
          <w:rFonts w:ascii="Traditional Arabic" w:hAnsi="Traditional Arabic" w:cs="Abz-2 (Badr)"/>
          <w:color w:val="000000"/>
          <w:sz w:val="28"/>
          <w:szCs w:val="28"/>
          <w:rtl/>
          <w:lang w:bidi="fa-IR"/>
        </w:rPr>
        <w:t>.</w:t>
      </w:r>
    </w:p>
    <w:p w14:paraId="70CA3614" w14:textId="77777777" w:rsidR="00E80368" w:rsidRPr="00E2075D" w:rsidRDefault="00E80368" w:rsidP="00E2075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E2075D">
        <w:rPr>
          <w:rFonts w:ascii="Traditional Arabic" w:hAnsi="Traditional Arabic" w:cs="Abz-2 (Badr)" w:hint="cs"/>
          <w:color w:val="000000"/>
          <w:sz w:val="28"/>
          <w:szCs w:val="28"/>
          <w:rtl/>
          <w:lang w:bidi="fa-IR"/>
        </w:rPr>
        <w:t>هذا</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إن</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كان</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المعقود</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عليه</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آيات</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متعدّدة،</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فلو</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كان</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آية</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أو</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آيتين</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فلا</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إشكال</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في</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الاكتفاء</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بالاستقلال</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به</w:t>
      </w:r>
      <w:r w:rsidRPr="00E2075D">
        <w:rPr>
          <w:rFonts w:ascii="Traditional Arabic" w:hAnsi="Traditional Arabic" w:cs="Abz-2 (Badr)"/>
          <w:color w:val="000000"/>
          <w:sz w:val="28"/>
          <w:szCs w:val="28"/>
          <w:rtl/>
          <w:lang w:bidi="fa-IR"/>
        </w:rPr>
        <w:t>.</w:t>
      </w:r>
      <w:r w:rsidRPr="00E2075D">
        <w:rPr>
          <w:rFonts w:ascii="Traditional Arabic" w:hAnsi="Traditional Arabic" w:cs="Abz-2 (Badr)" w:hint="cs"/>
          <w:color w:val="000000"/>
          <w:sz w:val="28"/>
          <w:szCs w:val="28"/>
          <w:rtl/>
          <w:lang w:bidi="fa-IR"/>
        </w:rPr>
        <w:t>»</w:t>
      </w:r>
      <w:r w:rsidRPr="00E2075D">
        <w:rPr>
          <w:vertAlign w:val="superscript"/>
          <w:rtl/>
        </w:rPr>
        <w:footnoteReference w:id="4"/>
      </w:r>
    </w:p>
    <w:p w14:paraId="1889936E" w14:textId="77777777" w:rsidR="00E80368" w:rsidRPr="00E2075D" w:rsidRDefault="00E80368" w:rsidP="00E2075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E2075D">
        <w:rPr>
          <w:rFonts w:ascii="Traditional Arabic" w:hAnsi="Traditional Arabic" w:cs="Abz-2 (Badr)" w:hint="cs"/>
          <w:color w:val="000000"/>
          <w:sz w:val="28"/>
          <w:szCs w:val="28"/>
          <w:rtl/>
          <w:lang w:bidi="fa-IR"/>
        </w:rPr>
        <w:t>حق نيز در اين فرمايشات با شهيد ثانی است و ملاک در آموزش قرآن و يا حفظ آن، عرفی است و تعبدی در اينجا وجود ندارد که تبعيت از آن لازم باشد.</w:t>
      </w:r>
    </w:p>
    <w:p w14:paraId="70E9A7AB" w14:textId="77777777" w:rsidR="00E80368" w:rsidRPr="00E2075D" w:rsidRDefault="00E80368" w:rsidP="00E2075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E2075D">
        <w:rPr>
          <w:rFonts w:ascii="Traditional Arabic" w:hAnsi="Traditional Arabic" w:cs="Abz-2 (Badr)" w:hint="cs"/>
          <w:color w:val="000000"/>
          <w:sz w:val="28"/>
          <w:szCs w:val="28"/>
          <w:rtl/>
          <w:lang w:bidi="fa-IR"/>
        </w:rPr>
        <w:t>مراد از «تتبعّها</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لنطقه» نيز اين است که زوجه کلمه به کلمه الفاظی را که زوج تلفظ می</w:t>
      </w:r>
      <w:r w:rsidRPr="00E2075D">
        <w:rPr>
          <w:rFonts w:ascii="Traditional Arabic" w:hAnsi="Traditional Arabic" w:cs="Abz-2 (Badr)"/>
          <w:color w:val="000000"/>
          <w:sz w:val="28"/>
          <w:szCs w:val="28"/>
          <w:rtl/>
          <w:lang w:bidi="fa-IR"/>
        </w:rPr>
        <w:softHyphen/>
      </w:r>
      <w:r w:rsidRPr="00E2075D">
        <w:rPr>
          <w:rFonts w:ascii="Traditional Arabic" w:hAnsi="Traditional Arabic" w:cs="Abz-2 (Badr)" w:hint="cs"/>
          <w:color w:val="000000"/>
          <w:sz w:val="28"/>
          <w:szCs w:val="28"/>
          <w:rtl/>
          <w:lang w:bidi="fa-IR"/>
        </w:rPr>
        <w:t>کند، پس از وی تلفظ نمايد.</w:t>
      </w:r>
    </w:p>
    <w:p w14:paraId="3CB94E60" w14:textId="5DD3DD98" w:rsidR="00836783" w:rsidRPr="00E2075D" w:rsidRDefault="00E6315C" w:rsidP="00E2075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E2075D">
        <w:rPr>
          <w:rFonts w:ascii="Traditional Arabic" w:hAnsi="Traditional Arabic" w:cs="Abz-2 (Badr)" w:hint="cs"/>
          <w:color w:val="000000"/>
          <w:sz w:val="28"/>
          <w:szCs w:val="28"/>
          <w:rtl/>
          <w:lang w:bidi="fa-IR"/>
        </w:rPr>
        <w:t>اما در خصوص اين که اگر زوجه، قبل از اين که زوج به او تعليم دهد، از شخض ديگری تعليم ببيند، بر زوج واجب است که اجرت تعليم را به او بدهد، زيرا اين مطلب به مانند موردی است که عين تعذر تسليم داشته باشد، اشکالی که به ذهن می</w:t>
      </w:r>
      <w:r w:rsidRPr="00E2075D">
        <w:rPr>
          <w:rFonts w:ascii="Traditional Arabic" w:hAnsi="Traditional Arabic" w:cs="Abz-2 (Badr)"/>
          <w:color w:val="000000"/>
          <w:sz w:val="28"/>
          <w:szCs w:val="28"/>
          <w:rtl/>
          <w:lang w:bidi="fa-IR"/>
        </w:rPr>
        <w:softHyphen/>
      </w:r>
      <w:r w:rsidRPr="00E2075D">
        <w:rPr>
          <w:rFonts w:ascii="Traditional Arabic" w:hAnsi="Traditional Arabic" w:cs="Abz-2 (Badr)" w:hint="cs"/>
          <w:color w:val="000000"/>
          <w:sz w:val="28"/>
          <w:szCs w:val="28"/>
          <w:rtl/>
          <w:lang w:bidi="fa-IR"/>
        </w:rPr>
        <w:t xml:space="preserve">رسد اين است که بايد بين موردی که تعلّم زوجه از غير زوج به سوء اختيار او بوده با موردی که به سبب </w:t>
      </w:r>
      <w:r w:rsidRPr="00E2075D">
        <w:rPr>
          <w:rFonts w:ascii="Traditional Arabic" w:hAnsi="Traditional Arabic" w:cs="Abz-2 (Badr)" w:hint="cs"/>
          <w:color w:val="000000"/>
          <w:sz w:val="28"/>
          <w:szCs w:val="28"/>
          <w:rtl/>
          <w:lang w:bidi="fa-IR"/>
        </w:rPr>
        <w:lastRenderedPageBreak/>
        <w:t xml:space="preserve">امتناع زوج از تعليم، چنين امری رخ داده است، فرق گذاشت، زيرا در مورد اول </w:t>
      </w:r>
      <w:r w:rsidR="002B3BAE">
        <w:rPr>
          <w:rFonts w:ascii="Traditional Arabic" w:hAnsi="Traditional Arabic" w:cs="Abz-2 (Badr)" w:hint="cs"/>
          <w:color w:val="000000"/>
          <w:sz w:val="28"/>
          <w:szCs w:val="28"/>
          <w:rtl/>
          <w:lang w:bidi="fa-IR"/>
        </w:rPr>
        <w:t>از بين رفتن محل</w:t>
      </w:r>
      <w:r w:rsidRPr="00E2075D">
        <w:rPr>
          <w:rFonts w:ascii="Traditional Arabic" w:hAnsi="Traditional Arabic" w:cs="Abz-2 (Badr)" w:hint="cs"/>
          <w:color w:val="000000"/>
          <w:sz w:val="28"/>
          <w:szCs w:val="28"/>
          <w:rtl/>
          <w:lang w:bidi="fa-IR"/>
        </w:rPr>
        <w:t xml:space="preserve"> به توسط خود زوجه رخ داده و استناد به زوج ندارد، به مانند اين که عين به واسطه فعل مالک آن تعذر تسليم پيدا کرده باشد.</w:t>
      </w:r>
    </w:p>
    <w:p w14:paraId="10BA374A" w14:textId="002661A1" w:rsidR="00E2075D" w:rsidRPr="00E2075D" w:rsidRDefault="00E2075D" w:rsidP="00E2075D">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E2075D">
        <w:rPr>
          <w:rFonts w:ascii="Traditional Arabic" w:hAnsi="Traditional Arabic" w:cs="Abz-2 (Badr)" w:hint="cs"/>
          <w:color w:val="000000"/>
          <w:sz w:val="28"/>
          <w:szCs w:val="28"/>
          <w:rtl/>
          <w:lang w:bidi="fa-IR"/>
        </w:rPr>
        <w:t>اما برخی ـ مثل شهيد ثانی و صاحب جواهر</w:t>
      </w:r>
      <w:r w:rsidRPr="00E2075D">
        <w:rPr>
          <w:vertAlign w:val="superscript"/>
          <w:rtl/>
        </w:rPr>
        <w:footnoteReference w:id="5"/>
      </w:r>
      <w:r w:rsidRPr="00E2075D">
        <w:rPr>
          <w:rFonts w:ascii="Traditional Arabic" w:hAnsi="Traditional Arabic" w:cs="Abz-2 (Badr)" w:hint="cs"/>
          <w:color w:val="000000"/>
          <w:sz w:val="28"/>
          <w:szCs w:val="28"/>
          <w:rtl/>
          <w:lang w:bidi="fa-IR"/>
        </w:rPr>
        <w:t xml:space="preserve"> ـ قائل به اين شده</w:t>
      </w:r>
      <w:r w:rsidRPr="00E2075D">
        <w:rPr>
          <w:rFonts w:ascii="Traditional Arabic" w:hAnsi="Traditional Arabic" w:cs="Abz-2 (Badr)"/>
          <w:color w:val="000000"/>
          <w:sz w:val="28"/>
          <w:szCs w:val="28"/>
          <w:rtl/>
          <w:lang w:bidi="fa-IR"/>
        </w:rPr>
        <w:softHyphen/>
      </w:r>
      <w:r w:rsidRPr="00E2075D">
        <w:rPr>
          <w:rFonts w:ascii="Traditional Arabic" w:hAnsi="Traditional Arabic" w:cs="Abz-2 (Badr)" w:hint="cs"/>
          <w:color w:val="000000"/>
          <w:sz w:val="28"/>
          <w:szCs w:val="28"/>
          <w:rtl/>
          <w:lang w:bidi="fa-IR"/>
        </w:rPr>
        <w:t>اند که حتی در صورتی که زوج حاضر به تعليم بوده و زوجه خود حاضر به تعل</w:t>
      </w:r>
      <w:r w:rsidR="004B57B3">
        <w:rPr>
          <w:rFonts w:ascii="Traditional Arabic" w:hAnsi="Traditional Arabic" w:cs="Abz-2 (Badr)" w:hint="cs"/>
          <w:color w:val="000000"/>
          <w:sz w:val="28"/>
          <w:szCs w:val="28"/>
          <w:rtl/>
          <w:lang w:bidi="fa-IR"/>
        </w:rPr>
        <w:t>ّ</w:t>
      </w:r>
      <w:r w:rsidRPr="00E2075D">
        <w:rPr>
          <w:rFonts w:ascii="Traditional Arabic" w:hAnsi="Traditional Arabic" w:cs="Abz-2 (Badr)" w:hint="cs"/>
          <w:color w:val="000000"/>
          <w:sz w:val="28"/>
          <w:szCs w:val="28"/>
          <w:rtl/>
          <w:lang w:bidi="fa-IR"/>
        </w:rPr>
        <w:t>م از وی نشده و از فرد ديگری تعلّم ديده، باز هم بر زوج واجب است که قيمت تعليم را به وی بپردازد.</w:t>
      </w:r>
    </w:p>
    <w:p w14:paraId="227365AE" w14:textId="2A56AB39" w:rsidR="008C7B1F" w:rsidRDefault="00E2075D" w:rsidP="002B3BAE">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E2075D">
        <w:rPr>
          <w:rFonts w:ascii="Traditional Arabic" w:hAnsi="Traditional Arabic" w:cs="Abz-2 (Badr)" w:hint="cs"/>
          <w:color w:val="000000"/>
          <w:sz w:val="28"/>
          <w:szCs w:val="28"/>
          <w:rtl/>
          <w:lang w:bidi="fa-IR"/>
        </w:rPr>
        <w:t>ولی اين مدعا وجهی ندارد، فلذا شيخ انصاری در کتاب نکاح می</w:t>
      </w:r>
      <w:r w:rsidRPr="00E2075D">
        <w:rPr>
          <w:rFonts w:ascii="Traditional Arabic" w:hAnsi="Traditional Arabic" w:cs="Abz-2 (Badr)"/>
          <w:color w:val="000000"/>
          <w:sz w:val="28"/>
          <w:szCs w:val="28"/>
          <w:rtl/>
          <w:lang w:bidi="fa-IR"/>
        </w:rPr>
        <w:softHyphen/>
      </w:r>
      <w:r w:rsidRPr="00E2075D">
        <w:rPr>
          <w:rFonts w:ascii="Traditional Arabic" w:hAnsi="Traditional Arabic" w:cs="Abz-2 (Badr)" w:hint="cs"/>
          <w:color w:val="000000"/>
          <w:sz w:val="28"/>
          <w:szCs w:val="28"/>
          <w:rtl/>
          <w:lang w:bidi="fa-IR"/>
        </w:rPr>
        <w:t>فرمايد: «لو</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بذل</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الزوج</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التعليم</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وتعلّمت</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الزوجة</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من</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غيره،</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يمكن</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القول</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بأنّها</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فوّتت</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المهر</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على</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نفسها،</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كما</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لو</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أمهرها</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منفعة</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عين</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بذلها</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لها</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فلم</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تستوف</w:t>
      </w:r>
      <w:r w:rsidRPr="00E2075D">
        <w:rPr>
          <w:rFonts w:ascii="Traditional Arabic" w:hAnsi="Traditional Arabic" w:cs="Abz-2 (Badr)"/>
          <w:color w:val="000000"/>
          <w:sz w:val="28"/>
          <w:szCs w:val="28"/>
          <w:rtl/>
          <w:lang w:bidi="fa-IR"/>
        </w:rPr>
        <w:t xml:space="preserve"> </w:t>
      </w:r>
      <w:r w:rsidRPr="00E2075D">
        <w:rPr>
          <w:rFonts w:ascii="Traditional Arabic" w:hAnsi="Traditional Arabic" w:cs="Abz-2 (Badr)" w:hint="cs"/>
          <w:color w:val="000000"/>
          <w:sz w:val="28"/>
          <w:szCs w:val="28"/>
          <w:rtl/>
          <w:lang w:bidi="fa-IR"/>
        </w:rPr>
        <w:t>المنفعة</w:t>
      </w:r>
      <w:r w:rsidRPr="00E2075D">
        <w:rPr>
          <w:rFonts w:ascii="Traditional Arabic" w:hAnsi="Traditional Arabic" w:cs="Abz-2 (Badr)"/>
          <w:color w:val="000000"/>
          <w:sz w:val="28"/>
          <w:szCs w:val="28"/>
          <w:rtl/>
          <w:lang w:bidi="fa-IR"/>
        </w:rPr>
        <w:t>.</w:t>
      </w:r>
      <w:r w:rsidRPr="00E2075D">
        <w:rPr>
          <w:rFonts w:ascii="Traditional Arabic" w:hAnsi="Traditional Arabic" w:cs="Abz-2 (Badr)" w:hint="cs"/>
          <w:color w:val="000000"/>
          <w:sz w:val="28"/>
          <w:szCs w:val="28"/>
          <w:rtl/>
          <w:lang w:bidi="fa-IR"/>
        </w:rPr>
        <w:t>»</w:t>
      </w:r>
      <w:r w:rsidRPr="00E2075D">
        <w:rPr>
          <w:vertAlign w:val="superscript"/>
          <w:rtl/>
        </w:rPr>
        <w:footnoteReference w:id="6"/>
      </w:r>
    </w:p>
    <w:p w14:paraId="3A8D45EE" w14:textId="3915BABD" w:rsidR="002B3BAE" w:rsidRPr="008C7B1F" w:rsidRDefault="002B3BAE" w:rsidP="002B3BAE">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rPr>
      </w:pPr>
      <w:bookmarkStart w:id="0" w:name="_Hlk151199431"/>
      <w:r>
        <w:rPr>
          <w:rFonts w:ascii="Traditional Arabic" w:hAnsi="Traditional Arabic" w:cs="Abz-2 (Badr)" w:hint="cs"/>
          <w:color w:val="000000"/>
          <w:sz w:val="28"/>
          <w:szCs w:val="28"/>
          <w:rtl/>
          <w:lang w:bidi="fa-IR"/>
        </w:rPr>
        <w:t>البته در تنظيری که شيخ انجام داده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w:t>
      </w:r>
      <w:r w:rsidR="004B57B3">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اشکال کرد و گفت: در جايی که منفعت عين به عنوان مهر قرار داده شده است، آنچه که بر زوج لازم است</w:t>
      </w:r>
      <w:r w:rsidR="004B57B3">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تحويل دادن عين است نه استيفاء منفعت برای زوجه، بنابر اين چنانچه زوج عين را تحويل داده باشد</w:t>
      </w:r>
      <w:r w:rsidR="004B57B3">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به وظيفه خود عمل کرده است</w:t>
      </w:r>
      <w:r w:rsidR="004B57B3">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در حالی که در ما نحن فيه آنچه که وظيفه زوج است، تعليم است که رخ نداده است. بنابر اين بهتر است که ما نحن فيه به همان چيزی که از ما گذشت تنظير شود و يا اين که در تنظيری که شيخ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گفته شود که زوجه از تحويل گرفتن عين برای استيفای منفعت آن کوتاهی نمايد.</w:t>
      </w:r>
      <w:bookmarkEnd w:id="0"/>
    </w:p>
    <w:sectPr w:rsidR="002B3BAE" w:rsidRPr="008C7B1F" w:rsidSect="00D27E0B">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69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A1E3B" w14:textId="77777777" w:rsidR="009E6415" w:rsidRDefault="009E6415" w:rsidP="00F71127">
      <w:pPr>
        <w:spacing w:after="0" w:line="240" w:lineRule="auto"/>
      </w:pPr>
      <w:r>
        <w:separator/>
      </w:r>
    </w:p>
  </w:endnote>
  <w:endnote w:type="continuationSeparator" w:id="0">
    <w:p w14:paraId="000D6F8A" w14:textId="77777777" w:rsidR="009E6415" w:rsidRDefault="009E641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805AF" w14:textId="77777777" w:rsidR="00D27E0B" w:rsidRDefault="00D27E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C825" w14:textId="77777777" w:rsidR="00D27E0B" w:rsidRDefault="00D27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72E35" w14:textId="77777777" w:rsidR="009E6415" w:rsidRDefault="009E6415" w:rsidP="00EE25C0">
      <w:pPr>
        <w:bidi/>
        <w:spacing w:after="0" w:line="240" w:lineRule="auto"/>
      </w:pPr>
      <w:r>
        <w:separator/>
      </w:r>
    </w:p>
  </w:footnote>
  <w:footnote w:type="continuationSeparator" w:id="0">
    <w:p w14:paraId="06B10934" w14:textId="77777777" w:rsidR="009E6415" w:rsidRDefault="009E6415" w:rsidP="00F71127">
      <w:pPr>
        <w:bidi/>
        <w:spacing w:after="0" w:line="240" w:lineRule="auto"/>
      </w:pPr>
      <w:r>
        <w:continuationSeparator/>
      </w:r>
    </w:p>
  </w:footnote>
  <w:footnote w:id="1">
    <w:p w14:paraId="4ED23A9D" w14:textId="77777777" w:rsidR="00E80368" w:rsidRPr="00474923" w:rsidRDefault="00E80368" w:rsidP="00E80368">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شرائع،ج2،ص275</w:t>
      </w:r>
      <w:r w:rsidRPr="00474923">
        <w:rPr>
          <w:rFonts w:cs="Abz-2 (Badr)" w:hint="cs"/>
          <w:rtl/>
          <w:lang w:bidi="fa-IR"/>
        </w:rPr>
        <w:t>.</w:t>
      </w:r>
    </w:p>
  </w:footnote>
  <w:footnote w:id="2">
    <w:p w14:paraId="721F7DA9" w14:textId="77777777" w:rsidR="00E80368" w:rsidRPr="00822EC7" w:rsidRDefault="00E80368" w:rsidP="00E80368">
      <w:pPr>
        <w:pStyle w:val="FootnoteText"/>
        <w:bidi/>
        <w:jc w:val="both"/>
        <w:rPr>
          <w:rFonts w:cs="Abz-2 (Badr)"/>
          <w:rtl/>
          <w:lang w:bidi="fa-IR"/>
        </w:rPr>
      </w:pPr>
      <w:r w:rsidRPr="00822EC7">
        <w:rPr>
          <w:rFonts w:cs="Abz-2 (Badr)"/>
          <w:lang w:bidi="fa-IR"/>
        </w:rPr>
        <w:footnoteRef/>
      </w:r>
      <w:r w:rsidRPr="00822EC7">
        <w:rPr>
          <w:rFonts w:cs="Abz-2 (Badr)"/>
          <w:rtl/>
          <w:lang w:bidi="fa-IR"/>
        </w:rPr>
        <w:t> </w:t>
      </w:r>
      <w:r>
        <w:rPr>
          <w:rFonts w:cs="Abz-2 (Badr)" w:hint="cs"/>
          <w:rtl/>
          <w:lang w:bidi="fa-IR"/>
        </w:rPr>
        <w:t xml:space="preserve">ـ </w:t>
      </w:r>
      <w:r w:rsidRPr="00822EC7">
        <w:rPr>
          <w:rFonts w:cs="Abz-2 (Badr)"/>
          <w:rtl/>
          <w:lang w:bidi="fa-IR"/>
        </w:rPr>
        <w:t>الرحمن</w:t>
      </w:r>
      <w:r>
        <w:rPr>
          <w:rFonts w:cs="Abz-2 (Badr)" w:hint="cs"/>
          <w:rtl/>
          <w:lang w:bidi="fa-IR"/>
        </w:rPr>
        <w:t>(55):</w:t>
      </w:r>
      <w:r w:rsidRPr="00822EC7">
        <w:rPr>
          <w:rFonts w:cs="Abz-2 (Badr)"/>
          <w:rtl/>
          <w:lang w:bidi="fa-IR"/>
        </w:rPr>
        <w:t>٦٤.</w:t>
      </w:r>
    </w:p>
  </w:footnote>
  <w:footnote w:id="3">
    <w:p w14:paraId="3D24BA6D" w14:textId="77777777" w:rsidR="00E80368" w:rsidRDefault="00E80368" w:rsidP="00E80368">
      <w:pPr>
        <w:pStyle w:val="FootnoteText"/>
        <w:bidi/>
        <w:jc w:val="both"/>
        <w:rPr>
          <w:rtl/>
        </w:rPr>
      </w:pPr>
      <w:r w:rsidRPr="00822EC7">
        <w:rPr>
          <w:rFonts w:cs="Abz-2 (Badr)"/>
          <w:lang w:bidi="fa-IR"/>
        </w:rPr>
        <w:footnoteRef/>
      </w:r>
      <w:r>
        <w:rPr>
          <w:rFonts w:cs="Abz-2 (Badr)" w:hint="cs"/>
          <w:rtl/>
          <w:lang w:bidi="fa-IR"/>
        </w:rPr>
        <w:t xml:space="preserve"> ـ</w:t>
      </w:r>
      <w:r w:rsidRPr="00822EC7">
        <w:rPr>
          <w:rFonts w:cs="Abz-2 (Badr)"/>
          <w:rtl/>
          <w:lang w:bidi="fa-IR"/>
        </w:rPr>
        <w:t xml:space="preserve"> الأعراف</w:t>
      </w:r>
      <w:r>
        <w:rPr>
          <w:rFonts w:cs="Abz-2 (Badr)" w:hint="cs"/>
          <w:rtl/>
          <w:lang w:bidi="fa-IR"/>
        </w:rPr>
        <w:t>(7):</w:t>
      </w:r>
      <w:r w:rsidRPr="00822EC7">
        <w:rPr>
          <w:rFonts w:cs="Abz-2 (Badr)"/>
          <w:rtl/>
          <w:lang w:bidi="fa-IR"/>
        </w:rPr>
        <w:t>١٢٠.</w:t>
      </w:r>
      <w:r>
        <w:rPr>
          <w:rtl/>
          <w:lang w:bidi="fa-IR"/>
        </w:rPr>
        <w:t xml:space="preserve"> </w:t>
      </w:r>
    </w:p>
  </w:footnote>
  <w:footnote w:id="4">
    <w:p w14:paraId="4510AF27" w14:textId="77777777" w:rsidR="00E80368" w:rsidRPr="00474923" w:rsidRDefault="00E80368" w:rsidP="00E80368">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،ج8،ص275 و 276</w:t>
      </w:r>
      <w:r w:rsidRPr="00474923">
        <w:rPr>
          <w:rFonts w:cs="Abz-2 (Badr)" w:hint="cs"/>
          <w:rtl/>
          <w:lang w:bidi="fa-IR"/>
        </w:rPr>
        <w:t>.</w:t>
      </w:r>
    </w:p>
  </w:footnote>
  <w:footnote w:id="5">
    <w:p w14:paraId="7D792E8F" w14:textId="6C4B1A02" w:rsidR="00E2075D" w:rsidRPr="00474923" w:rsidRDefault="00E2075D" w:rsidP="00E2075D">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 همان،ص276 ـ جواهر،ج30،ص120</w:t>
      </w:r>
      <w:r w:rsidRPr="00474923">
        <w:rPr>
          <w:rFonts w:cs="Abz-2 (Badr)" w:hint="cs"/>
          <w:rtl/>
          <w:lang w:bidi="fa-IR"/>
        </w:rPr>
        <w:t>.</w:t>
      </w:r>
    </w:p>
  </w:footnote>
  <w:footnote w:id="6">
    <w:p w14:paraId="6A04F8FE" w14:textId="38BADCAF" w:rsidR="00E2075D" w:rsidRPr="00474923" w:rsidRDefault="00E2075D" w:rsidP="00E2075D">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کتاب النکاح،ص263</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BB62E" w14:textId="77777777" w:rsidR="00D27E0B" w:rsidRDefault="00D27E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89BB8" w14:textId="36312F11" w:rsidR="00D27E0B" w:rsidRDefault="00D27E0B">
    <w:pPr>
      <w:pStyle w:val="Header"/>
    </w:pPr>
    <w:r>
      <w:rPr>
        <w:noProof/>
      </w:rPr>
      <mc:AlternateContent>
        <mc:Choice Requires="wps">
          <w:drawing>
            <wp:anchor distT="45720" distB="45720" distL="114300" distR="114300" simplePos="0" relativeHeight="251661312" behindDoc="0" locked="0" layoutInCell="1" allowOverlap="1" wp14:anchorId="17E778DE" wp14:editId="2DC23905">
              <wp:simplePos x="0" y="0"/>
              <wp:positionH relativeFrom="column">
                <wp:posOffset>1794510</wp:posOffset>
              </wp:positionH>
              <wp:positionV relativeFrom="paragraph">
                <wp:posOffset>180975</wp:posOffset>
              </wp:positionV>
              <wp:extent cx="4772025" cy="25050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025" cy="2505075"/>
                      </a:xfrm>
                      <a:prstGeom prst="rect">
                        <a:avLst/>
                      </a:prstGeom>
                      <a:solidFill>
                        <a:srgbClr val="FFFFFF"/>
                      </a:solidFill>
                      <a:ln w="9525">
                        <a:noFill/>
                        <a:miter lim="800000"/>
                        <a:headEnd/>
                        <a:tailEnd/>
                      </a:ln>
                    </wps:spPr>
                    <wps:txbx>
                      <w:txbxContent>
                        <w:p w14:paraId="6F08A590" w14:textId="79A4946C" w:rsidR="00D27E0B" w:rsidRDefault="00D27E0B" w:rsidP="00D27E0B">
                          <w:pPr>
                            <w:bidi/>
                            <w:rPr>
                              <w:rFonts w:cs="B Mehr"/>
                            </w:rPr>
                          </w:pPr>
                          <w:r>
                            <w:rPr>
                              <w:rFonts w:cs="B Mehr" w:hint="cs"/>
                              <w:rtl/>
                            </w:rPr>
                            <w:t>تقریر درس خارج فقه،  استاد حاج سید علی موسوی اردبیلی</w:t>
                          </w:r>
                          <w:r>
                            <w:rPr>
                              <w:rFonts w:cs="B Mehr" w:hint="cs"/>
                            </w:rPr>
                            <w:t xml:space="preserve"> </w:t>
                          </w:r>
                        </w:p>
                        <w:p w14:paraId="39C47F39" w14:textId="77777777" w:rsidR="00D27E0B" w:rsidRDefault="00D27E0B" w:rsidP="00D27E0B">
                          <w:pPr>
                            <w:jc w:val="right"/>
                            <w:rPr>
                              <w:rFonts w:cs="B Mehr"/>
                            </w:rPr>
                          </w:pPr>
                          <w:r>
                            <w:rPr>
                              <w:rFonts w:cs="B Mehr" w:hint="cs"/>
                              <w:rtl/>
                            </w:rPr>
                            <w:t xml:space="preserve">مبحث: نکاح    / مهر </w:t>
                          </w:r>
                        </w:p>
                        <w:p w14:paraId="42517590" w14:textId="4F6EE4D3" w:rsidR="00D27E0B" w:rsidRDefault="00D27E0B" w:rsidP="00D27E0B">
                          <w:pPr>
                            <w:bidi/>
                          </w:pPr>
                          <w:r>
                            <w:rPr>
                              <w:rFonts w:cs="B Mehr" w:hint="cs"/>
                              <w:rtl/>
                            </w:rPr>
                            <w:t xml:space="preserve">تاریخ:  </w:t>
                          </w:r>
                          <w:r>
                            <w:rPr>
                              <w:rFonts w:cs="B Mehr" w:hint="cs"/>
                              <w:rtl/>
                              <w:lang w:bidi="fa-IR"/>
                            </w:rPr>
                            <w:t xml:space="preserve">    شنبه</w:t>
                          </w:r>
                          <w:r>
                            <w:rPr>
                              <w:rFonts w:cs="B Mehr" w:hint="cs"/>
                              <w:rtl/>
                            </w:rPr>
                            <w:t xml:space="preserve">،   </w:t>
                          </w:r>
                          <w:r>
                            <w:rPr>
                              <w:rFonts w:cs="B Mehr" w:hint="cs"/>
                              <w:rtl/>
                            </w:rPr>
                            <w:t>27</w:t>
                          </w:r>
                          <w:r>
                            <w:rPr>
                              <w:rFonts w:cs="B Mehr" w:hint="cs"/>
                              <w:rtl/>
                            </w:rPr>
                            <w:t xml:space="preserve"> آبان  ماه - 1402ه.ش</w:t>
                          </w:r>
                        </w:p>
                        <w:p w14:paraId="4A17F692" w14:textId="77777777" w:rsidR="00D27E0B" w:rsidRDefault="00D27E0B" w:rsidP="00D27E0B"/>
                        <w:p w14:paraId="145B100A" w14:textId="77777777" w:rsidR="00D27E0B" w:rsidRDefault="00D27E0B" w:rsidP="00D27E0B"/>
                        <w:p w14:paraId="14C760D4" w14:textId="2E832EBB" w:rsidR="00D27E0B" w:rsidRDefault="00D27E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E778DE" id="_x0000_t202" coordsize="21600,21600" o:spt="202" path="m,l,21600r21600,l21600,xe">
              <v:stroke joinstyle="miter"/>
              <v:path gradientshapeok="t" o:connecttype="rect"/>
            </v:shapetype>
            <v:shape id="Text Box 2" o:spid="_x0000_s1026" type="#_x0000_t202" style="position:absolute;margin-left:141.3pt;margin-top:14.25pt;width:375.75pt;height:197.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" stroked="f">
              <v:textbox>
                <w:txbxContent>
                  <w:p w14:paraId="6F08A590" w14:textId="79A4946C" w:rsidR="00D27E0B" w:rsidRDefault="00D27E0B" w:rsidP="00D27E0B">
                    <w:pPr>
                      <w:bidi/>
                      <w:rPr>
                        <w:rFonts w:cs="B Mehr"/>
                      </w:rPr>
                    </w:pPr>
                    <w:r>
                      <w:rPr>
                        <w:rFonts w:cs="B Mehr" w:hint="cs"/>
                        <w:rtl/>
                      </w:rPr>
                      <w:t>تقریر درس خارج فقه،  استاد حاج سید علی موسوی اردبیلی</w:t>
                    </w:r>
                    <w:r>
                      <w:rPr>
                        <w:rFonts w:cs="B Mehr" w:hint="cs"/>
                      </w:rPr>
                      <w:t xml:space="preserve"> </w:t>
                    </w:r>
                  </w:p>
                  <w:p w14:paraId="39C47F39" w14:textId="77777777" w:rsidR="00D27E0B" w:rsidRDefault="00D27E0B" w:rsidP="00D27E0B">
                    <w:pPr>
                      <w:jc w:val="right"/>
                      <w:rPr>
                        <w:rFonts w:cs="B Mehr"/>
                      </w:rPr>
                    </w:pPr>
                    <w:r>
                      <w:rPr>
                        <w:rFonts w:cs="B Mehr" w:hint="cs"/>
                        <w:rtl/>
                      </w:rPr>
                      <w:t xml:space="preserve">مبحث: نکاح    / مهر </w:t>
                    </w:r>
                  </w:p>
                  <w:p w14:paraId="42517590" w14:textId="4F6EE4D3" w:rsidR="00D27E0B" w:rsidRDefault="00D27E0B" w:rsidP="00D27E0B">
                    <w:pPr>
                      <w:bidi/>
                    </w:pPr>
                    <w:r>
                      <w:rPr>
                        <w:rFonts w:cs="B Mehr" w:hint="cs"/>
                        <w:rtl/>
                      </w:rPr>
                      <w:t xml:space="preserve">تاریخ:  </w:t>
                    </w:r>
                    <w:r>
                      <w:rPr>
                        <w:rFonts w:cs="B Mehr" w:hint="cs"/>
                        <w:rtl/>
                        <w:lang w:bidi="fa-IR"/>
                      </w:rPr>
                      <w:t xml:space="preserve">    شنبه</w:t>
                    </w:r>
                    <w:r>
                      <w:rPr>
                        <w:rFonts w:cs="B Mehr" w:hint="cs"/>
                        <w:rtl/>
                      </w:rPr>
                      <w:t xml:space="preserve">،   </w:t>
                    </w:r>
                    <w:r>
                      <w:rPr>
                        <w:rFonts w:cs="B Mehr" w:hint="cs"/>
                        <w:rtl/>
                      </w:rPr>
                      <w:t>27</w:t>
                    </w:r>
                    <w:r>
                      <w:rPr>
                        <w:rFonts w:cs="B Mehr" w:hint="cs"/>
                        <w:rtl/>
                      </w:rPr>
                      <w:t xml:space="preserve"> آبان  ماه - 1402ه.ش</w:t>
                    </w:r>
                  </w:p>
                  <w:p w14:paraId="4A17F692" w14:textId="77777777" w:rsidR="00D27E0B" w:rsidRDefault="00D27E0B" w:rsidP="00D27E0B"/>
                  <w:p w14:paraId="145B100A" w14:textId="77777777" w:rsidR="00D27E0B" w:rsidRDefault="00D27E0B" w:rsidP="00D27E0B"/>
                  <w:p w14:paraId="14C760D4" w14:textId="2E832EBB" w:rsidR="00D27E0B" w:rsidRDefault="00D27E0B"/>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2C8FA89" wp14:editId="63402F56">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66E43" w14:textId="77777777" w:rsidR="00D27E0B" w:rsidRDefault="00D27E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E4"/>
    <w:rsid w:val="000978E9"/>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3810"/>
    <w:rsid w:val="001C5DF2"/>
    <w:rsid w:val="001C7D28"/>
    <w:rsid w:val="001D0A81"/>
    <w:rsid w:val="001D1305"/>
    <w:rsid w:val="001D4A4D"/>
    <w:rsid w:val="001D4F87"/>
    <w:rsid w:val="001D670B"/>
    <w:rsid w:val="001D6920"/>
    <w:rsid w:val="001D72CB"/>
    <w:rsid w:val="001D784F"/>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7131A"/>
    <w:rsid w:val="002716DD"/>
    <w:rsid w:val="002717DA"/>
    <w:rsid w:val="002733BA"/>
    <w:rsid w:val="0027535A"/>
    <w:rsid w:val="00281694"/>
    <w:rsid w:val="00281DC9"/>
    <w:rsid w:val="002829CF"/>
    <w:rsid w:val="0028356D"/>
    <w:rsid w:val="0028373C"/>
    <w:rsid w:val="002855E6"/>
    <w:rsid w:val="0028724B"/>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0ED0"/>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0DFD"/>
    <w:rsid w:val="00311432"/>
    <w:rsid w:val="00314951"/>
    <w:rsid w:val="00315744"/>
    <w:rsid w:val="00315C77"/>
    <w:rsid w:val="00315D8F"/>
    <w:rsid w:val="00324849"/>
    <w:rsid w:val="00324BF0"/>
    <w:rsid w:val="00325973"/>
    <w:rsid w:val="00327075"/>
    <w:rsid w:val="00330590"/>
    <w:rsid w:val="003314C2"/>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27F8"/>
    <w:rsid w:val="003832A1"/>
    <w:rsid w:val="003846A9"/>
    <w:rsid w:val="00391C06"/>
    <w:rsid w:val="00392471"/>
    <w:rsid w:val="00392C89"/>
    <w:rsid w:val="00393BC9"/>
    <w:rsid w:val="00393CDD"/>
    <w:rsid w:val="003968D8"/>
    <w:rsid w:val="00397F0E"/>
    <w:rsid w:val="003A0C76"/>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B7EB7"/>
    <w:rsid w:val="003C0FF5"/>
    <w:rsid w:val="003C1FAF"/>
    <w:rsid w:val="003C2326"/>
    <w:rsid w:val="003C282A"/>
    <w:rsid w:val="003C2E55"/>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25DD"/>
    <w:rsid w:val="00432F13"/>
    <w:rsid w:val="0043340D"/>
    <w:rsid w:val="004335E4"/>
    <w:rsid w:val="00434053"/>
    <w:rsid w:val="004342E8"/>
    <w:rsid w:val="0043733E"/>
    <w:rsid w:val="004404E5"/>
    <w:rsid w:val="00440D1F"/>
    <w:rsid w:val="00441942"/>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234"/>
    <w:rsid w:val="004A59F7"/>
    <w:rsid w:val="004A65C4"/>
    <w:rsid w:val="004A6A16"/>
    <w:rsid w:val="004B110C"/>
    <w:rsid w:val="004B143E"/>
    <w:rsid w:val="004B26CD"/>
    <w:rsid w:val="004B3F7E"/>
    <w:rsid w:val="004B5767"/>
    <w:rsid w:val="004B57B3"/>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609B"/>
    <w:rsid w:val="00597D84"/>
    <w:rsid w:val="005A094B"/>
    <w:rsid w:val="005A1E62"/>
    <w:rsid w:val="005B0498"/>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40E30"/>
    <w:rsid w:val="00641531"/>
    <w:rsid w:val="006419B6"/>
    <w:rsid w:val="0064316B"/>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A0EE4"/>
    <w:rsid w:val="006A4128"/>
    <w:rsid w:val="006A4420"/>
    <w:rsid w:val="006A47A5"/>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6F5B67"/>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2605"/>
    <w:rsid w:val="00862608"/>
    <w:rsid w:val="00862C50"/>
    <w:rsid w:val="00862D03"/>
    <w:rsid w:val="008632AD"/>
    <w:rsid w:val="00863667"/>
    <w:rsid w:val="00864EE3"/>
    <w:rsid w:val="00866AC4"/>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577"/>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1208"/>
    <w:rsid w:val="0090198F"/>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1BB0"/>
    <w:rsid w:val="009E20C7"/>
    <w:rsid w:val="009E2B08"/>
    <w:rsid w:val="009E5E0D"/>
    <w:rsid w:val="009E6415"/>
    <w:rsid w:val="009E6B65"/>
    <w:rsid w:val="009F19E6"/>
    <w:rsid w:val="009F1FB9"/>
    <w:rsid w:val="009F2510"/>
    <w:rsid w:val="009F39BA"/>
    <w:rsid w:val="009F53E1"/>
    <w:rsid w:val="009F63C7"/>
    <w:rsid w:val="009F7308"/>
    <w:rsid w:val="009F7D29"/>
    <w:rsid w:val="00A030FF"/>
    <w:rsid w:val="00A07F9F"/>
    <w:rsid w:val="00A07FB2"/>
    <w:rsid w:val="00A105DA"/>
    <w:rsid w:val="00A106A5"/>
    <w:rsid w:val="00A11857"/>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76C87"/>
    <w:rsid w:val="00A81A2F"/>
    <w:rsid w:val="00A81FF9"/>
    <w:rsid w:val="00A82392"/>
    <w:rsid w:val="00A83E60"/>
    <w:rsid w:val="00A840BC"/>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FDF"/>
    <w:rsid w:val="00B13A99"/>
    <w:rsid w:val="00B13ED5"/>
    <w:rsid w:val="00B15E53"/>
    <w:rsid w:val="00B16A2B"/>
    <w:rsid w:val="00B16F52"/>
    <w:rsid w:val="00B177DA"/>
    <w:rsid w:val="00B178BE"/>
    <w:rsid w:val="00B2122E"/>
    <w:rsid w:val="00B22729"/>
    <w:rsid w:val="00B22B97"/>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60195"/>
    <w:rsid w:val="00B6154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F1A"/>
    <w:rsid w:val="00BF7138"/>
    <w:rsid w:val="00BF76F5"/>
    <w:rsid w:val="00C004FA"/>
    <w:rsid w:val="00C01832"/>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0ED6"/>
    <w:rsid w:val="00C73394"/>
    <w:rsid w:val="00C73581"/>
    <w:rsid w:val="00C763FB"/>
    <w:rsid w:val="00C77585"/>
    <w:rsid w:val="00C77F3D"/>
    <w:rsid w:val="00C80BB4"/>
    <w:rsid w:val="00C80FAC"/>
    <w:rsid w:val="00C8237E"/>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56B4"/>
    <w:rsid w:val="00CD79EE"/>
    <w:rsid w:val="00CE0E9D"/>
    <w:rsid w:val="00CE187B"/>
    <w:rsid w:val="00CE1EB7"/>
    <w:rsid w:val="00CE4681"/>
    <w:rsid w:val="00CE6EC7"/>
    <w:rsid w:val="00CE72CE"/>
    <w:rsid w:val="00CE7F5A"/>
    <w:rsid w:val="00CF0A66"/>
    <w:rsid w:val="00CF39A2"/>
    <w:rsid w:val="00CF42A1"/>
    <w:rsid w:val="00D00507"/>
    <w:rsid w:val="00D00A33"/>
    <w:rsid w:val="00D01472"/>
    <w:rsid w:val="00D0221D"/>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27E0B"/>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16F"/>
    <w:rsid w:val="00E0140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2A13"/>
    <w:rsid w:val="00E6315C"/>
    <w:rsid w:val="00E63591"/>
    <w:rsid w:val="00E6533A"/>
    <w:rsid w:val="00E66242"/>
    <w:rsid w:val="00E723F3"/>
    <w:rsid w:val="00E7457A"/>
    <w:rsid w:val="00E74781"/>
    <w:rsid w:val="00E749D3"/>
    <w:rsid w:val="00E74AB7"/>
    <w:rsid w:val="00E753E1"/>
    <w:rsid w:val="00E76EAB"/>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B55"/>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6EF4"/>
    <w:rsid w:val="00F97D88"/>
    <w:rsid w:val="00FA1A37"/>
    <w:rsid w:val="00FA1D7F"/>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3A94"/>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9748</TotalTime>
  <Pages>1</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1169</cp:revision>
  <cp:lastPrinted>2023-11-15T07:29:00Z</cp:lastPrinted>
  <dcterms:created xsi:type="dcterms:W3CDTF">2022-10-16T08:36:00Z</dcterms:created>
  <dcterms:modified xsi:type="dcterms:W3CDTF">2023-11-18T18:36:00Z</dcterms:modified>
</cp:coreProperties>
</file>